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FC" w:rsidRDefault="00867FFC" w:rsidP="00867FFC">
      <w:pPr>
        <w:tabs>
          <w:tab w:val="center" w:pos="4536"/>
        </w:tabs>
        <w:spacing w:line="312" w:lineRule="auto"/>
        <w:rPr>
          <w:b/>
          <w:sz w:val="20"/>
          <w:szCs w:val="20"/>
        </w:rPr>
      </w:pPr>
    </w:p>
    <w:p w:rsidR="00867FFC" w:rsidRPr="0049482D" w:rsidRDefault="00867FFC" w:rsidP="00867FFC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  <w:r w:rsidRPr="0049482D">
        <w:rPr>
          <w:b/>
          <w:sz w:val="20"/>
          <w:szCs w:val="20"/>
        </w:rPr>
        <w:t>VYHLÁŠKA</w:t>
      </w:r>
    </w:p>
    <w:p w:rsidR="00867FFC" w:rsidRPr="0049482D" w:rsidRDefault="00867FFC" w:rsidP="00867FFC">
      <w:pPr>
        <w:spacing w:line="312" w:lineRule="auto"/>
        <w:jc w:val="center"/>
        <w:rPr>
          <w:b/>
          <w:sz w:val="20"/>
          <w:szCs w:val="20"/>
        </w:rPr>
      </w:pPr>
      <w:r w:rsidRPr="0049482D">
        <w:rPr>
          <w:b/>
          <w:sz w:val="20"/>
          <w:szCs w:val="20"/>
        </w:rPr>
        <w:t>Regionálneho úradu verejného zdravotníctva so sídlom v </w:t>
      </w:r>
      <w:r w:rsidR="00F9637F">
        <w:rPr>
          <w:b/>
          <w:sz w:val="20"/>
          <w:szCs w:val="20"/>
        </w:rPr>
        <w:t>Považskej Bystrici</w:t>
      </w:r>
      <w:r w:rsidRPr="0049482D">
        <w:rPr>
          <w:b/>
          <w:sz w:val="20"/>
          <w:szCs w:val="20"/>
        </w:rPr>
        <w:t xml:space="preserve">, </w:t>
      </w:r>
    </w:p>
    <w:p w:rsidR="00867FFC" w:rsidRPr="0049482D" w:rsidRDefault="00867FFC" w:rsidP="00867FFC">
      <w:pPr>
        <w:spacing w:line="312" w:lineRule="auto"/>
        <w:jc w:val="center"/>
        <w:rPr>
          <w:b/>
          <w:sz w:val="20"/>
          <w:szCs w:val="20"/>
        </w:rPr>
      </w:pPr>
      <w:r w:rsidRPr="0049482D">
        <w:rPr>
          <w:b/>
          <w:sz w:val="20"/>
          <w:szCs w:val="20"/>
        </w:rPr>
        <w:t xml:space="preserve"> zo dňa </w:t>
      </w:r>
      <w:r w:rsidR="00F9637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 decembra 2020</w:t>
      </w:r>
      <w:r w:rsidRPr="0049482D">
        <w:rPr>
          <w:b/>
          <w:sz w:val="20"/>
          <w:szCs w:val="20"/>
        </w:rPr>
        <w:t xml:space="preserve">, ktorou sa nariaďujú opatrenia pri ohrození verejného  zdravia pre </w:t>
      </w:r>
      <w:r>
        <w:rPr>
          <w:b/>
          <w:sz w:val="20"/>
          <w:szCs w:val="20"/>
        </w:rPr>
        <w:t>okres</w:t>
      </w:r>
      <w:r w:rsidR="001B5BD9">
        <w:rPr>
          <w:b/>
          <w:sz w:val="20"/>
          <w:szCs w:val="20"/>
        </w:rPr>
        <w:t xml:space="preserve">y </w:t>
      </w:r>
      <w:r w:rsidR="00F9637F">
        <w:rPr>
          <w:b/>
          <w:sz w:val="20"/>
          <w:szCs w:val="20"/>
        </w:rPr>
        <w:t>Považská Bystrica, Púchov, Ilava</w:t>
      </w:r>
      <w:r>
        <w:rPr>
          <w:b/>
          <w:sz w:val="20"/>
          <w:szCs w:val="20"/>
        </w:rPr>
        <w:t>.</w:t>
      </w:r>
    </w:p>
    <w:p w:rsidR="00867FFC" w:rsidRPr="00DB1A84" w:rsidRDefault="00867FFC" w:rsidP="00867FFC">
      <w:pPr>
        <w:tabs>
          <w:tab w:val="left" w:pos="2304"/>
        </w:tabs>
        <w:spacing w:line="312" w:lineRule="auto"/>
        <w:rPr>
          <w:sz w:val="32"/>
          <w:szCs w:val="32"/>
        </w:rPr>
      </w:pPr>
      <w:r>
        <w:rPr>
          <w:b/>
        </w:rPr>
        <w:tab/>
      </w:r>
    </w:p>
    <w:p w:rsidR="00867FFC" w:rsidRPr="00237B7C" w:rsidRDefault="00867FFC" w:rsidP="007A24D2">
      <w:pPr>
        <w:spacing w:line="312" w:lineRule="auto"/>
        <w:ind w:firstLine="567"/>
        <w:jc w:val="both"/>
        <w:rPr>
          <w:sz w:val="20"/>
          <w:szCs w:val="20"/>
        </w:rPr>
      </w:pPr>
      <w:r w:rsidRPr="00237B7C">
        <w:rPr>
          <w:sz w:val="20"/>
          <w:szCs w:val="20"/>
        </w:rPr>
        <w:t>Regionálny úrad verejného zdravotníctva so sídlom v </w:t>
      </w:r>
      <w:r w:rsidR="00F9637F">
        <w:rPr>
          <w:sz w:val="20"/>
          <w:szCs w:val="20"/>
        </w:rPr>
        <w:t>Považskej Bystrici</w:t>
      </w:r>
      <w:r w:rsidRPr="00237B7C">
        <w:rPr>
          <w:sz w:val="20"/>
          <w:szCs w:val="20"/>
        </w:rPr>
        <w:t xml:space="preserve"> (ďalej len „RÚVZ </w:t>
      </w:r>
      <w:r w:rsidRPr="00237B7C">
        <w:rPr>
          <w:sz w:val="20"/>
          <w:szCs w:val="20"/>
        </w:rPr>
        <w:br/>
        <w:t>so sídlom v </w:t>
      </w:r>
      <w:r w:rsidR="00F9637F">
        <w:rPr>
          <w:sz w:val="20"/>
          <w:szCs w:val="20"/>
        </w:rPr>
        <w:t>Považskej Bystrici</w:t>
      </w:r>
      <w:r w:rsidRPr="00237B7C">
        <w:rPr>
          <w:sz w:val="20"/>
          <w:szCs w:val="20"/>
        </w:rPr>
        <w:t xml:space="preserve">“) ako príslušný orgán štátnej správy na úseku verejného zdravotníctva podľa § 6 ods. 3 písm. e),  </w:t>
      </w:r>
      <w:r w:rsidRPr="00237B7C">
        <w:rPr>
          <w:bCs/>
          <w:sz w:val="20"/>
          <w:szCs w:val="20"/>
        </w:rPr>
        <w:t xml:space="preserve">§ 48 ods. 4 písm. </w:t>
      </w:r>
      <w:r>
        <w:rPr>
          <w:bCs/>
          <w:sz w:val="20"/>
          <w:szCs w:val="20"/>
        </w:rPr>
        <w:t>d), e</w:t>
      </w:r>
      <w:r w:rsidRPr="00237B7C">
        <w:rPr>
          <w:bCs/>
          <w:sz w:val="20"/>
          <w:szCs w:val="20"/>
        </w:rPr>
        <w:t xml:space="preserve">), </w:t>
      </w:r>
      <w:r w:rsidR="001B5BD9">
        <w:rPr>
          <w:bCs/>
          <w:sz w:val="20"/>
          <w:szCs w:val="20"/>
        </w:rPr>
        <w:t>y)</w:t>
      </w:r>
      <w:r w:rsidR="00826DB6">
        <w:rPr>
          <w:bCs/>
          <w:sz w:val="20"/>
          <w:szCs w:val="20"/>
        </w:rPr>
        <w:t>, z)</w:t>
      </w:r>
      <w:r w:rsidRPr="00237B7C">
        <w:rPr>
          <w:bCs/>
          <w:sz w:val="20"/>
          <w:szCs w:val="20"/>
        </w:rPr>
        <w:t xml:space="preserve"> a § 59b) zákona č. 355/2007 Z. z. </w:t>
      </w:r>
      <w:r w:rsidRPr="00237B7C">
        <w:rPr>
          <w:sz w:val="20"/>
          <w:szCs w:val="20"/>
        </w:rPr>
        <w:t xml:space="preserve">o ochrane, podpore a rozvoji verejného zdravia a o zmene a doplnení niektorých zákonov (ďalej len „zákon č. 355/2007 Z. z.“) z dôvodu pandémie ochorenia COVID-19 </w:t>
      </w:r>
      <w:r w:rsidRPr="00237B7C">
        <w:rPr>
          <w:bCs/>
          <w:sz w:val="20"/>
          <w:szCs w:val="20"/>
        </w:rPr>
        <w:t>ustanovuje</w:t>
      </w:r>
      <w:r w:rsidR="00C56062">
        <w:rPr>
          <w:bCs/>
          <w:sz w:val="20"/>
          <w:szCs w:val="20"/>
        </w:rPr>
        <w:t>:</w:t>
      </w:r>
    </w:p>
    <w:p w:rsidR="00867FFC" w:rsidRPr="00237B7C" w:rsidRDefault="00867FFC" w:rsidP="00867FFC">
      <w:pPr>
        <w:pStyle w:val="Odsekzoznamu"/>
        <w:spacing w:line="312" w:lineRule="auto"/>
        <w:ind w:left="720"/>
        <w:jc w:val="center"/>
        <w:rPr>
          <w:b/>
          <w:bCs/>
          <w:sz w:val="20"/>
          <w:szCs w:val="20"/>
        </w:rPr>
      </w:pPr>
      <w:r w:rsidRPr="00237B7C">
        <w:rPr>
          <w:b/>
          <w:bCs/>
          <w:sz w:val="20"/>
          <w:szCs w:val="20"/>
        </w:rPr>
        <w:t>§ 1</w:t>
      </w:r>
    </w:p>
    <w:p w:rsidR="00867FFC" w:rsidRPr="00237B7C" w:rsidRDefault="00867FFC" w:rsidP="00867FFC">
      <w:pPr>
        <w:pStyle w:val="Odsekzoznamu"/>
        <w:spacing w:line="360" w:lineRule="auto"/>
        <w:ind w:left="720"/>
        <w:jc w:val="center"/>
        <w:rPr>
          <w:b/>
          <w:bCs/>
          <w:sz w:val="20"/>
          <w:szCs w:val="20"/>
        </w:rPr>
      </w:pPr>
    </w:p>
    <w:p w:rsidR="00867FFC" w:rsidRDefault="00867FFC" w:rsidP="00867FFC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right="-144"/>
        <w:jc w:val="both"/>
        <w:rPr>
          <w:sz w:val="20"/>
          <w:szCs w:val="20"/>
        </w:rPr>
      </w:pPr>
      <w:r w:rsidRPr="00237B7C">
        <w:rPr>
          <w:sz w:val="20"/>
          <w:szCs w:val="20"/>
        </w:rPr>
        <w:t xml:space="preserve"> Podľa ustanovenia § 48 ods. 4 písm.</w:t>
      </w:r>
      <w:r>
        <w:rPr>
          <w:sz w:val="20"/>
          <w:szCs w:val="20"/>
        </w:rPr>
        <w:t xml:space="preserve"> d),</w:t>
      </w:r>
      <w:r w:rsidRPr="00237B7C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237B7C">
        <w:rPr>
          <w:sz w:val="20"/>
          <w:szCs w:val="20"/>
        </w:rPr>
        <w:t xml:space="preserve">) zákona č. 355/2007 Z. z. </w:t>
      </w:r>
      <w:r>
        <w:rPr>
          <w:sz w:val="20"/>
          <w:szCs w:val="20"/>
        </w:rPr>
        <w:t xml:space="preserve"> sa zakazuje</w:t>
      </w:r>
    </w:p>
    <w:p w:rsidR="00867FFC" w:rsidRDefault="00867FFC" w:rsidP="00867FFC">
      <w:pPr>
        <w:pStyle w:val="Odsekzoznamu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right="-144"/>
        <w:jc w:val="both"/>
        <w:rPr>
          <w:sz w:val="20"/>
          <w:szCs w:val="20"/>
        </w:rPr>
      </w:pPr>
      <w:r w:rsidRPr="00F833F3">
        <w:rPr>
          <w:sz w:val="20"/>
          <w:szCs w:val="20"/>
        </w:rPr>
        <w:t xml:space="preserve">organizovanie  </w:t>
      </w:r>
      <w:r w:rsidR="001B5BD9">
        <w:rPr>
          <w:sz w:val="20"/>
          <w:szCs w:val="20"/>
        </w:rPr>
        <w:t>príležitostných trhov</w:t>
      </w:r>
      <w:r w:rsidRPr="00DE4EEB">
        <w:rPr>
          <w:sz w:val="20"/>
          <w:szCs w:val="20"/>
        </w:rPr>
        <w:t>, vrátane prípravy a predaja alkoholických a nealkoholických nápojov na priamy konzum ambulantným spôsobom</w:t>
      </w:r>
      <w:r>
        <w:rPr>
          <w:sz w:val="20"/>
          <w:szCs w:val="20"/>
        </w:rPr>
        <w:t>,</w:t>
      </w:r>
      <w:r w:rsidRPr="00DE4EEB">
        <w:rPr>
          <w:sz w:val="20"/>
          <w:szCs w:val="20"/>
        </w:rPr>
        <w:t xml:space="preserve"> </w:t>
      </w:r>
    </w:p>
    <w:p w:rsidR="00867FFC" w:rsidRDefault="00867FFC" w:rsidP="00867FFC">
      <w:pPr>
        <w:pStyle w:val="Odsekzoznamu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right="-144"/>
        <w:jc w:val="both"/>
        <w:rPr>
          <w:sz w:val="20"/>
          <w:szCs w:val="20"/>
        </w:rPr>
      </w:pPr>
      <w:r w:rsidRPr="00F833F3">
        <w:rPr>
          <w:sz w:val="20"/>
          <w:szCs w:val="20"/>
        </w:rPr>
        <w:t xml:space="preserve">organizovanie firemných posedení  a akýchkoľvek stretnutí spojených  s konzumáciou nápojov a pokrmov aj v počte menšom ako 6 ľudí na mieste, s výnimkou rodinných stretnutí v priamom </w:t>
      </w:r>
      <w:r w:rsidRPr="00DE4EEB">
        <w:rPr>
          <w:sz w:val="20"/>
          <w:szCs w:val="20"/>
        </w:rPr>
        <w:t>príbuzenstve</w:t>
      </w:r>
      <w:r>
        <w:rPr>
          <w:sz w:val="20"/>
          <w:szCs w:val="20"/>
        </w:rPr>
        <w:t>;</w:t>
      </w:r>
    </w:p>
    <w:p w:rsidR="007A24D2" w:rsidRDefault="007A24D2" w:rsidP="007A24D2">
      <w:pPr>
        <w:pStyle w:val="Odsekzoznamu"/>
        <w:tabs>
          <w:tab w:val="left" w:pos="284"/>
          <w:tab w:val="left" w:pos="426"/>
        </w:tabs>
        <w:spacing w:line="360" w:lineRule="auto"/>
        <w:ind w:left="720" w:right="-144"/>
        <w:jc w:val="both"/>
        <w:rPr>
          <w:sz w:val="20"/>
          <w:szCs w:val="20"/>
        </w:rPr>
      </w:pPr>
    </w:p>
    <w:p w:rsidR="00867FFC" w:rsidRDefault="00867FFC" w:rsidP="00867FFC">
      <w:pPr>
        <w:pStyle w:val="Odsekzoznamu"/>
        <w:spacing w:line="312" w:lineRule="auto"/>
        <w:ind w:left="720"/>
        <w:jc w:val="center"/>
        <w:rPr>
          <w:b/>
          <w:bCs/>
          <w:sz w:val="20"/>
          <w:szCs w:val="20"/>
        </w:rPr>
      </w:pPr>
      <w:r w:rsidRPr="00237B7C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2</w:t>
      </w:r>
    </w:p>
    <w:p w:rsidR="00867FFC" w:rsidRPr="00237B7C" w:rsidRDefault="00867FFC" w:rsidP="00867FFC">
      <w:pPr>
        <w:pStyle w:val="Odsekzoznamu"/>
        <w:spacing w:line="312" w:lineRule="auto"/>
        <w:ind w:left="720"/>
        <w:jc w:val="center"/>
        <w:rPr>
          <w:b/>
          <w:bCs/>
          <w:sz w:val="20"/>
          <w:szCs w:val="20"/>
        </w:rPr>
      </w:pPr>
    </w:p>
    <w:p w:rsidR="00867FFC" w:rsidRPr="007A24D2" w:rsidRDefault="007A24D2" w:rsidP="007A24D2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7FFC" w:rsidRPr="007A24D2">
        <w:rPr>
          <w:sz w:val="20"/>
          <w:szCs w:val="20"/>
        </w:rPr>
        <w:t>Podľa ustanovenia § 48 ods. 4 písm.  e) zákona č. 355/2007 Z. z.  sa nariaďuje:</w:t>
      </w:r>
    </w:p>
    <w:p w:rsidR="00867FFC" w:rsidRPr="008E6EAB" w:rsidRDefault="00867FFC" w:rsidP="00867FFC">
      <w:pPr>
        <w:tabs>
          <w:tab w:val="left" w:pos="284"/>
          <w:tab w:val="left" w:pos="426"/>
        </w:tabs>
        <w:spacing w:line="360" w:lineRule="auto"/>
        <w:ind w:right="-144"/>
        <w:jc w:val="both"/>
        <w:rPr>
          <w:sz w:val="20"/>
          <w:szCs w:val="20"/>
        </w:rPr>
      </w:pPr>
    </w:p>
    <w:p w:rsidR="007A24D2" w:rsidRDefault="00867FFC" w:rsidP="007A24D2">
      <w:pPr>
        <w:pStyle w:val="Odsekzoznamu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right="-144"/>
        <w:jc w:val="both"/>
        <w:rPr>
          <w:sz w:val="20"/>
          <w:szCs w:val="20"/>
        </w:rPr>
      </w:pPr>
      <w:r w:rsidRPr="0082184C">
        <w:rPr>
          <w:sz w:val="20"/>
          <w:szCs w:val="20"/>
        </w:rPr>
        <w:t>obmedziť</w:t>
      </w:r>
      <w:r w:rsidR="00C56062">
        <w:rPr>
          <w:sz w:val="20"/>
          <w:szCs w:val="20"/>
        </w:rPr>
        <w:t xml:space="preserve">  kapacitu v kinách a divadlách</w:t>
      </w:r>
      <w:r>
        <w:rPr>
          <w:sz w:val="20"/>
          <w:szCs w:val="20"/>
        </w:rPr>
        <w:t>, pričom h</w:t>
      </w:r>
      <w:r w:rsidRPr="0082184C">
        <w:rPr>
          <w:sz w:val="20"/>
          <w:szCs w:val="20"/>
        </w:rPr>
        <w:t>romadné podujatia divadelných, hudobných, filmových alebo iných umeleckých predstavení, vykonávaných v prevádzkach divadelných, hudobných, filmových alebo iných umeleckých zariadení možno vykonávať  len výlučne so sediacimi účastníkmi a to tak, že je zabezpečené sedenie v každom druhom  rade a medzi obsadenými miestami ostane jedno miesto neobsadené, pričom sekvencia obsadenia miest musí v radoch alternovať</w:t>
      </w:r>
      <w:r>
        <w:rPr>
          <w:sz w:val="20"/>
          <w:szCs w:val="20"/>
        </w:rPr>
        <w:t>,</w:t>
      </w:r>
    </w:p>
    <w:p w:rsidR="00867FFC" w:rsidRPr="007A24D2" w:rsidRDefault="00867FFC" w:rsidP="007A24D2">
      <w:pPr>
        <w:pStyle w:val="Odsekzoznamu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right="-144"/>
        <w:jc w:val="both"/>
        <w:rPr>
          <w:sz w:val="20"/>
          <w:szCs w:val="20"/>
        </w:rPr>
      </w:pPr>
      <w:r w:rsidRPr="007A24D2">
        <w:rPr>
          <w:sz w:val="20"/>
          <w:szCs w:val="20"/>
        </w:rPr>
        <w:t xml:space="preserve">obmedziť  kapacitu v kostoloch, bohoslužby  možno vykonávať s výlučne sediacimi veriacimi, počet účastníkov hromadného podujatia v interiérovom priestore v jednom okamihu nesmie prekročiť koncentráciu jedna osoba na </w:t>
      </w:r>
      <w:r w:rsidR="00826DB6" w:rsidRPr="007A24D2">
        <w:rPr>
          <w:sz w:val="20"/>
          <w:szCs w:val="20"/>
        </w:rPr>
        <w:t xml:space="preserve">15 </w:t>
      </w:r>
      <w:r w:rsidRPr="007A24D2">
        <w:rPr>
          <w:sz w:val="20"/>
          <w:szCs w:val="20"/>
        </w:rPr>
        <w:t>m</w:t>
      </w:r>
      <w:r w:rsidRPr="007A24D2">
        <w:rPr>
          <w:sz w:val="20"/>
          <w:szCs w:val="20"/>
          <w:vertAlign w:val="superscript"/>
        </w:rPr>
        <w:t>2</w:t>
      </w:r>
      <w:r w:rsidRPr="007A24D2">
        <w:rPr>
          <w:sz w:val="20"/>
          <w:szCs w:val="20"/>
        </w:rPr>
        <w:t>, možno vykonávať</w:t>
      </w:r>
      <w:r w:rsidR="00826DB6" w:rsidRPr="007A24D2">
        <w:rPr>
          <w:sz w:val="20"/>
          <w:szCs w:val="20"/>
        </w:rPr>
        <w:t xml:space="preserve">  len tak, že </w:t>
      </w:r>
      <w:r w:rsidRPr="007A24D2">
        <w:rPr>
          <w:sz w:val="20"/>
          <w:szCs w:val="20"/>
        </w:rPr>
        <w:t>je zabezpečené sedenie v každom druhom  rade a  medzi obsadenými miestami ostane jedno miesto neobsadené, pričom sekvencia obsadenia miest musí v radoch alternovať</w:t>
      </w:r>
      <w:r w:rsidR="00C56062" w:rsidRPr="007A24D2">
        <w:rPr>
          <w:sz w:val="20"/>
          <w:szCs w:val="20"/>
        </w:rPr>
        <w:t>.</w:t>
      </w:r>
    </w:p>
    <w:p w:rsidR="00867FFC" w:rsidRDefault="00867FFC" w:rsidP="00867FFC">
      <w:pPr>
        <w:pStyle w:val="Odsekzoznamu"/>
        <w:spacing w:after="160" w:line="360" w:lineRule="auto"/>
        <w:ind w:left="720"/>
        <w:contextualSpacing/>
        <w:jc w:val="center"/>
        <w:rPr>
          <w:b/>
          <w:bCs/>
          <w:sz w:val="20"/>
          <w:szCs w:val="20"/>
        </w:rPr>
      </w:pPr>
    </w:p>
    <w:p w:rsidR="00867FFC" w:rsidRPr="00237B7C" w:rsidRDefault="00867FFC" w:rsidP="00867FFC">
      <w:pPr>
        <w:pStyle w:val="Odsekzoznamu"/>
        <w:spacing w:after="160" w:line="360" w:lineRule="auto"/>
        <w:ind w:left="720"/>
        <w:contextualSpacing/>
        <w:jc w:val="center"/>
        <w:rPr>
          <w:b/>
          <w:bCs/>
          <w:sz w:val="20"/>
          <w:szCs w:val="20"/>
        </w:rPr>
      </w:pPr>
      <w:r w:rsidRPr="00237B7C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3</w:t>
      </w:r>
    </w:p>
    <w:p w:rsidR="00867FFC" w:rsidRPr="00237B7C" w:rsidRDefault="00867FFC" w:rsidP="00867FFC">
      <w:pPr>
        <w:pStyle w:val="Odsekzoznamu"/>
        <w:spacing w:after="160" w:line="360" w:lineRule="auto"/>
        <w:ind w:left="720"/>
        <w:contextualSpacing/>
        <w:jc w:val="center"/>
        <w:rPr>
          <w:b/>
          <w:bCs/>
          <w:sz w:val="20"/>
          <w:szCs w:val="20"/>
        </w:rPr>
      </w:pPr>
      <w:r w:rsidRPr="00237B7C">
        <w:rPr>
          <w:b/>
          <w:bCs/>
          <w:sz w:val="20"/>
          <w:szCs w:val="20"/>
        </w:rPr>
        <w:t>Účinnosť</w:t>
      </w:r>
    </w:p>
    <w:p w:rsidR="00867FFC" w:rsidRPr="00237B7C" w:rsidRDefault="00867FFC" w:rsidP="00867FFC">
      <w:pPr>
        <w:spacing w:after="160" w:line="360" w:lineRule="auto"/>
        <w:contextualSpacing/>
        <w:jc w:val="both"/>
        <w:rPr>
          <w:sz w:val="20"/>
          <w:szCs w:val="20"/>
        </w:rPr>
      </w:pPr>
      <w:r w:rsidRPr="00237B7C">
        <w:rPr>
          <w:sz w:val="20"/>
          <w:szCs w:val="20"/>
        </w:rPr>
        <w:t xml:space="preserve">Táto vyhláška nadobúda účinnosť dňom </w:t>
      </w:r>
      <w:r>
        <w:rPr>
          <w:sz w:val="20"/>
          <w:szCs w:val="20"/>
        </w:rPr>
        <w:t>1</w:t>
      </w:r>
      <w:r w:rsidR="00FD5B10">
        <w:rPr>
          <w:sz w:val="20"/>
          <w:szCs w:val="20"/>
        </w:rPr>
        <w:t>2</w:t>
      </w:r>
      <w:r>
        <w:rPr>
          <w:sz w:val="20"/>
          <w:szCs w:val="20"/>
        </w:rPr>
        <w:t>.12.2020</w:t>
      </w:r>
      <w:r w:rsidRPr="00237B7C">
        <w:rPr>
          <w:sz w:val="20"/>
          <w:szCs w:val="20"/>
        </w:rPr>
        <w:t xml:space="preserve">. </w:t>
      </w:r>
    </w:p>
    <w:p w:rsidR="00867FFC" w:rsidRDefault="00867FFC" w:rsidP="00867FFC"/>
    <w:p w:rsidR="00867FFC" w:rsidRDefault="00867FFC" w:rsidP="00867FFC"/>
    <w:p w:rsidR="00867FFC" w:rsidRDefault="00867FFC" w:rsidP="00867FFC"/>
    <w:p w:rsidR="00867FFC" w:rsidRPr="0049482D" w:rsidRDefault="00867FFC" w:rsidP="00867FFC">
      <w:pPr>
        <w:jc w:val="center"/>
        <w:rPr>
          <w:b/>
          <w:sz w:val="20"/>
          <w:szCs w:val="20"/>
        </w:rPr>
      </w:pPr>
      <w:r w:rsidRPr="0049482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</w:t>
      </w:r>
      <w:r w:rsidRPr="0049482D">
        <w:rPr>
          <w:sz w:val="20"/>
          <w:szCs w:val="20"/>
        </w:rPr>
        <w:t xml:space="preserve">           </w:t>
      </w:r>
      <w:r w:rsidRPr="0049482D">
        <w:rPr>
          <w:b/>
          <w:sz w:val="20"/>
          <w:szCs w:val="20"/>
        </w:rPr>
        <w:t>M</w:t>
      </w:r>
      <w:r w:rsidR="00F9637F">
        <w:rPr>
          <w:b/>
          <w:sz w:val="20"/>
          <w:szCs w:val="20"/>
        </w:rPr>
        <w:t>gr. Renata Beníková</w:t>
      </w:r>
      <w:r w:rsidRPr="0049482D">
        <w:rPr>
          <w:b/>
          <w:sz w:val="20"/>
          <w:szCs w:val="20"/>
        </w:rPr>
        <w:t>, MPH, v.r.</w:t>
      </w:r>
      <w:bookmarkStart w:id="0" w:name="_GoBack"/>
      <w:bookmarkEnd w:id="0"/>
    </w:p>
    <w:p w:rsidR="00867FFC" w:rsidRPr="0049482D" w:rsidRDefault="00867FFC" w:rsidP="00867FFC">
      <w:pPr>
        <w:jc w:val="center"/>
        <w:rPr>
          <w:b/>
          <w:sz w:val="20"/>
          <w:szCs w:val="20"/>
        </w:rPr>
      </w:pPr>
      <w:r w:rsidRPr="0049482D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Pr="0049482D">
        <w:rPr>
          <w:b/>
          <w:sz w:val="20"/>
          <w:szCs w:val="20"/>
        </w:rPr>
        <w:t xml:space="preserve">      regionálna hygienička</w:t>
      </w: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426359" w:rsidRDefault="00426359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p w:rsidR="00867FFC" w:rsidRDefault="00867FFC" w:rsidP="00D258AF">
      <w:pPr>
        <w:tabs>
          <w:tab w:val="center" w:pos="4536"/>
        </w:tabs>
        <w:spacing w:line="312" w:lineRule="auto"/>
        <w:jc w:val="center"/>
        <w:rPr>
          <w:b/>
          <w:sz w:val="20"/>
          <w:szCs w:val="20"/>
        </w:rPr>
      </w:pPr>
    </w:p>
    <w:sectPr w:rsidR="00867FFC" w:rsidSect="0012098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C2A"/>
    <w:multiLevelType w:val="hybridMultilevel"/>
    <w:tmpl w:val="373A2B5E"/>
    <w:lvl w:ilvl="0" w:tplc="B4CEFB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841AC"/>
    <w:multiLevelType w:val="hybridMultilevel"/>
    <w:tmpl w:val="E80CAC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09BB"/>
    <w:multiLevelType w:val="hybridMultilevel"/>
    <w:tmpl w:val="5E0EBE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060A"/>
    <w:multiLevelType w:val="hybridMultilevel"/>
    <w:tmpl w:val="2C2E45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E2081C"/>
    <w:multiLevelType w:val="hybridMultilevel"/>
    <w:tmpl w:val="22940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71D61"/>
    <w:multiLevelType w:val="hybridMultilevel"/>
    <w:tmpl w:val="D3C49E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37F4E"/>
    <w:multiLevelType w:val="hybridMultilevel"/>
    <w:tmpl w:val="373A2B5E"/>
    <w:lvl w:ilvl="0" w:tplc="B4CEFB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5"/>
    <w:rsid w:val="00081AE7"/>
    <w:rsid w:val="0014622F"/>
    <w:rsid w:val="001557BE"/>
    <w:rsid w:val="00183D9F"/>
    <w:rsid w:val="001B5BD9"/>
    <w:rsid w:val="001D6321"/>
    <w:rsid w:val="00237B7C"/>
    <w:rsid w:val="00384F2F"/>
    <w:rsid w:val="00426359"/>
    <w:rsid w:val="00471D36"/>
    <w:rsid w:val="00493EFC"/>
    <w:rsid w:val="0049482D"/>
    <w:rsid w:val="00545F36"/>
    <w:rsid w:val="005E7A1E"/>
    <w:rsid w:val="0060368E"/>
    <w:rsid w:val="006B3129"/>
    <w:rsid w:val="007A24D2"/>
    <w:rsid w:val="007B4717"/>
    <w:rsid w:val="007D7116"/>
    <w:rsid w:val="007D79DC"/>
    <w:rsid w:val="00826DB6"/>
    <w:rsid w:val="00867FFC"/>
    <w:rsid w:val="00914E53"/>
    <w:rsid w:val="00935E77"/>
    <w:rsid w:val="009B41F7"/>
    <w:rsid w:val="00A20DB5"/>
    <w:rsid w:val="00A76569"/>
    <w:rsid w:val="00C126C7"/>
    <w:rsid w:val="00C17B78"/>
    <w:rsid w:val="00C56062"/>
    <w:rsid w:val="00CF1887"/>
    <w:rsid w:val="00D258AF"/>
    <w:rsid w:val="00DC7623"/>
    <w:rsid w:val="00DF5F8E"/>
    <w:rsid w:val="00EB640D"/>
    <w:rsid w:val="00EE4F84"/>
    <w:rsid w:val="00F9637F"/>
    <w:rsid w:val="00F9661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DD88"/>
  <w15:docId w15:val="{A10F9E24-9C66-46DA-A616-0AE3E651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A20DB5"/>
    <w:pPr>
      <w:ind w:left="708"/>
    </w:pPr>
    <w:rPr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20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0D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0DB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99"/>
    <w:locked/>
    <w:rsid w:val="00A20D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DB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RUVZ_PB</cp:lastModifiedBy>
  <cp:revision>4</cp:revision>
  <cp:lastPrinted>2020-12-08T15:29:00Z</cp:lastPrinted>
  <dcterms:created xsi:type="dcterms:W3CDTF">2020-12-10T07:31:00Z</dcterms:created>
  <dcterms:modified xsi:type="dcterms:W3CDTF">2020-12-10T07:36:00Z</dcterms:modified>
</cp:coreProperties>
</file>